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30"/>
        </w:rPr>
      </w:pPr>
      <w:r>
        <w:rPr>
          <w:rFonts w:hint="eastAsia" w:ascii="方正小标宋_GBK" w:hAnsi="方正小标宋_GBK" w:eastAsia="方正小标宋_GBK" w:cs="方正小标宋_GBK"/>
          <w:sz w:val="44"/>
          <w:szCs w:val="30"/>
        </w:rPr>
        <w:t>云南财经大学校内刊物变更申报表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部门（学院）：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</w:p>
    <w:p>
      <w:pPr>
        <w:rPr>
          <w:rFonts w:hint="eastAsia"/>
          <w:sz w:val="24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701"/>
        <w:gridCol w:w="2127"/>
        <w:gridCol w:w="155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刊物原名称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18"/>
                <w:szCs w:val="30"/>
              </w:rPr>
              <w:t>（报纸、杂志等）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刊物变更名称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18"/>
                <w:szCs w:val="30"/>
              </w:rPr>
              <w:t>（报纸、杂志等）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主管部门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分发范围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主办单位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第一责任人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经费来源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出版周期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分工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旨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容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意见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主要负责人签字：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审批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意见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</w:p>
          <w:p>
            <w:pPr>
              <w:ind w:firstLine="1680" w:firstLineChars="600"/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主要负责人签字：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注意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事项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0"/>
              </w:rPr>
              <w:t>1.经学校宣传部审批同意的内刊，须严格按注册宗旨内容编印和“三审三校”流程编印好每一期。一经发现违背宗旨，立即停刊，问题严重的，要追究主要负责人的责任。2.编印后送交一份至宣传部备案，并做好刊稿的存档工作备查。3.未经宣传部审批的刊物，一律不得擅自刊出。4.经审批同意的刊物，只能在校内分发，严禁对外发行。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30"/>
        </w:rPr>
        <w:t>本表一式两份，经学校宣传部审批同意后，宣传部和主办单位各留存一份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DdkYmY2YzNiZmUyZmFjZDg4MWQ0ZTlkZTA0MGUifQ=="/>
  </w:docVars>
  <w:rsids>
    <w:rsidRoot w:val="7AE8076D"/>
    <w:rsid w:val="33056DEB"/>
    <w:rsid w:val="7AE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354</Characters>
  <Lines>0</Lines>
  <Paragraphs>0</Paragraphs>
  <TotalTime>0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2023-06-01T00:37:00Z</dcterms:created>
  <dc:creator>张雯</dc:creator>
  <cp:lastModifiedBy>西西Nancy</cp:lastModifiedBy>
  <dcterms:modified xsi:type="dcterms:W3CDTF">2023-06-06T09:54:48Z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57816C4C8E3B4DE79CC04D2EE2DD4049_11</vt:lpwstr>
  </property>
</Properties>
</file>